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7170" w14:textId="2FAF8F4B" w:rsidR="0088034D" w:rsidRDefault="00964328">
      <w:pPr>
        <w:spacing w:after="0" w:line="259" w:lineRule="auto"/>
        <w:ind w:left="0" w:right="0" w:firstLine="0"/>
        <w:jc w:val="left"/>
        <w:rPr>
          <w:rFonts w:ascii="Flanders Art Serif" w:eastAsia="Flanders Art Serif" w:hAnsi="Flanders Art Serif" w:cs="Flanders Art Serif"/>
          <w:b/>
          <w:color w:val="FFFFFF"/>
          <w:sz w:val="52"/>
        </w:rPr>
      </w:pPr>
      <w:r>
        <w:rPr>
          <w:noProof/>
        </w:rPr>
        <mc:AlternateContent>
          <mc:Choice Requires="wpg">
            <w:drawing>
              <wp:anchor distT="0" distB="0" distL="114300" distR="114300" simplePos="0" relativeHeight="251658240" behindDoc="0" locked="0" layoutInCell="1" allowOverlap="1" wp14:anchorId="67965FC9" wp14:editId="7D190583">
                <wp:simplePos x="0" y="0"/>
                <wp:positionH relativeFrom="page">
                  <wp:posOffset>0</wp:posOffset>
                </wp:positionH>
                <wp:positionV relativeFrom="page">
                  <wp:posOffset>0</wp:posOffset>
                </wp:positionV>
                <wp:extent cx="7560310" cy="2064385"/>
                <wp:effectExtent l="0" t="0" r="2540" b="0"/>
                <wp:wrapTopAndBottom/>
                <wp:docPr id="4551" name="Group 4551"/>
                <wp:cNvGraphicFramePr/>
                <a:graphic xmlns:a="http://schemas.openxmlformats.org/drawingml/2006/main">
                  <a:graphicData uri="http://schemas.microsoft.com/office/word/2010/wordprocessingGroup">
                    <wpg:wgp>
                      <wpg:cNvGrpSpPr/>
                      <wpg:grpSpPr>
                        <a:xfrm>
                          <a:off x="0" y="0"/>
                          <a:ext cx="7560310" cy="2064385"/>
                          <a:chOff x="0" y="0"/>
                          <a:chExt cx="7560564" cy="2064776"/>
                        </a:xfrm>
                      </wpg:grpSpPr>
                      <wps:wsp>
                        <wps:cNvPr id="21" name="Shape 21"/>
                        <wps:cNvSpPr/>
                        <wps:spPr>
                          <a:xfrm>
                            <a:off x="0" y="0"/>
                            <a:ext cx="7560564" cy="2064776"/>
                          </a:xfrm>
                          <a:custGeom>
                            <a:avLst/>
                            <a:gdLst/>
                            <a:ahLst/>
                            <a:cxnLst/>
                            <a:rect l="0" t="0" r="0" b="0"/>
                            <a:pathLst>
                              <a:path w="7560564" h="2064776">
                                <a:moveTo>
                                  <a:pt x="0" y="0"/>
                                </a:moveTo>
                                <a:lnTo>
                                  <a:pt x="7560564" y="0"/>
                                </a:lnTo>
                                <a:lnTo>
                                  <a:pt x="7560564" y="1633898"/>
                                </a:lnTo>
                                <a:lnTo>
                                  <a:pt x="0" y="2064776"/>
                                </a:lnTo>
                                <a:lnTo>
                                  <a:pt x="0" y="0"/>
                                </a:lnTo>
                                <a:close/>
                              </a:path>
                            </a:pathLst>
                          </a:custGeom>
                          <a:ln w="0" cap="flat">
                            <a:miter lim="127000"/>
                          </a:ln>
                        </wps:spPr>
                        <wps:style>
                          <a:lnRef idx="0">
                            <a:srgbClr val="000000">
                              <a:alpha val="0"/>
                            </a:srgbClr>
                          </a:lnRef>
                          <a:fillRef idx="1">
                            <a:srgbClr val="31B7BC"/>
                          </a:fillRef>
                          <a:effectRef idx="0">
                            <a:scrgbClr r="0" g="0" b="0"/>
                          </a:effectRef>
                          <a:fontRef idx="none"/>
                        </wps:style>
                        <wps:bodyPr/>
                      </wps:wsp>
                      <wps:wsp>
                        <wps:cNvPr id="22" name="Rectangle 22"/>
                        <wps:cNvSpPr/>
                        <wps:spPr>
                          <a:xfrm>
                            <a:off x="729158" y="421005"/>
                            <a:ext cx="6515815" cy="439842"/>
                          </a:xfrm>
                          <a:prstGeom prst="rect">
                            <a:avLst/>
                          </a:prstGeom>
                          <a:ln>
                            <a:noFill/>
                          </a:ln>
                        </wps:spPr>
                        <wps:txbx>
                          <w:txbxContent>
                            <w:p w14:paraId="5D7F01C7" w14:textId="625C2775"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 xml:space="preserve">IRM: </w:t>
                              </w:r>
                              <w:r w:rsidR="004D1CB8">
                                <w:rPr>
                                  <w:rFonts w:ascii="Flanders Art Serif" w:eastAsia="Flanders Art Serif" w:hAnsi="Flanders Art Serif" w:cs="Flanders Art Serif"/>
                                  <w:b/>
                                  <w:color w:val="FFFFFF"/>
                                  <w:sz w:val="32"/>
                                  <w:szCs w:val="32"/>
                                </w:rPr>
                                <w:t xml:space="preserve">aan de slag </w:t>
                              </w:r>
                              <w:r w:rsidR="0054436A">
                                <w:rPr>
                                  <w:rFonts w:ascii="Flanders Art Serif" w:eastAsia="Flanders Art Serif" w:hAnsi="Flanders Art Serif" w:cs="Flanders Art Serif"/>
                                  <w:b/>
                                  <w:color w:val="FFFFFF"/>
                                  <w:sz w:val="32"/>
                                  <w:szCs w:val="32"/>
                                </w:rPr>
                                <w:t>met een praktijkleerove</w:t>
                              </w:r>
                              <w:r w:rsidR="00424A4A">
                                <w:rPr>
                                  <w:rFonts w:ascii="Flanders Art Serif" w:eastAsia="Flanders Art Serif" w:hAnsi="Flanders Art Serif" w:cs="Flanders Art Serif"/>
                                  <w:b/>
                                  <w:color w:val="FFFFFF"/>
                                  <w:sz w:val="32"/>
                                  <w:szCs w:val="32"/>
                                </w:rPr>
                                <w:t>ree</w:t>
                              </w:r>
                              <w:r w:rsidR="0054436A">
                                <w:rPr>
                                  <w:rFonts w:ascii="Flanders Art Serif" w:eastAsia="Flanders Art Serif" w:hAnsi="Flanders Art Serif" w:cs="Flanders Art Serif"/>
                                  <w:b/>
                                  <w:color w:val="FFFFFF"/>
                                  <w:sz w:val="32"/>
                                  <w:szCs w:val="32"/>
                                </w:rPr>
                                <w:t>nkomst in Nederland</w:t>
                              </w:r>
                              <w:r w:rsidR="008D6CB9" w:rsidRPr="00B34F26">
                                <w:rPr>
                                  <w:rFonts w:ascii="Flanders Art Serif" w:eastAsia="Flanders Art Serif" w:hAnsi="Flanders Art Serif" w:cs="Flanders Art Serif"/>
                                  <w:b/>
                                  <w:color w:val="FFFFFF"/>
                                  <w:sz w:val="32"/>
                                  <w:szCs w:val="32"/>
                                </w:rPr>
                                <w:t xml:space="preserve"> </w:t>
                              </w:r>
                            </w:p>
                          </w:txbxContent>
                        </wps:txbx>
                        <wps:bodyPr horzOverflow="overflow" vert="horz" lIns="0" tIns="0" rIns="0" bIns="0" rtlCol="0">
                          <a:noAutofit/>
                        </wps:bodyPr>
                      </wps:wsp>
                      <wps:wsp>
                        <wps:cNvPr id="23" name="Rectangle 23"/>
                        <wps:cNvSpPr/>
                        <wps:spPr>
                          <a:xfrm>
                            <a:off x="710108" y="882618"/>
                            <a:ext cx="6548186" cy="841733"/>
                          </a:xfrm>
                          <a:prstGeom prst="rect">
                            <a:avLst/>
                          </a:prstGeom>
                          <a:ln>
                            <a:noFill/>
                          </a:ln>
                        </wps:spPr>
                        <wps:txbx>
                          <w:txbxContent>
                            <w:p w14:paraId="3A419284" w14:textId="009FCF21" w:rsidR="007776F9" w:rsidRDefault="00964328">
                              <w:pPr>
                                <w:spacing w:after="160" w:line="259" w:lineRule="auto"/>
                                <w:ind w:left="0" w:right="0" w:firstLine="0"/>
                                <w:jc w:val="left"/>
                              </w:pPr>
                              <w:r>
                                <w:rPr>
                                  <w:rFonts w:ascii="Flanders Art Serif" w:eastAsia="Flanders Art Serif" w:hAnsi="Flanders Art Serif" w:cs="Flanders Art Serif"/>
                                  <w:b/>
                                  <w:color w:val="FFFFFF"/>
                                  <w:sz w:val="52"/>
                                </w:rPr>
                                <w:t>Infofiche voor Nederlandse ondernemingen</w:t>
                              </w:r>
                              <w:r w:rsidR="008D6CB9">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4" name="Rectangle 24"/>
                        <wps:cNvSpPr/>
                        <wps:spPr>
                          <a:xfrm>
                            <a:off x="2806319" y="1044574"/>
                            <a:ext cx="128874" cy="439842"/>
                          </a:xfrm>
                          <a:prstGeom prst="rect">
                            <a:avLst/>
                          </a:prstGeom>
                          <a:ln>
                            <a:noFill/>
                          </a:ln>
                        </wps:spPr>
                        <wps:txbx>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5" name="Rectangle 25"/>
                        <wps:cNvSpPr/>
                        <wps:spPr>
                          <a:xfrm>
                            <a:off x="719633" y="1571498"/>
                            <a:ext cx="462138" cy="202692"/>
                          </a:xfrm>
                          <a:prstGeom prst="rect">
                            <a:avLst/>
                          </a:prstGeom>
                          <a:ln>
                            <a:noFill/>
                          </a:ln>
                        </wps:spPr>
                        <wps:txbx>
                          <w:txbxContent>
                            <w:p w14:paraId="331CAEAD" w14:textId="385565EE" w:rsidR="007776F9" w:rsidRDefault="007776F9">
                              <w:pPr>
                                <w:spacing w:after="160" w:line="259" w:lineRule="auto"/>
                                <w:ind w:left="0" w:right="0" w:firstLine="0"/>
                                <w:jc w:val="left"/>
                              </w:pPr>
                            </w:p>
                          </w:txbxContent>
                        </wps:txbx>
                        <wps:bodyPr horzOverflow="overflow" vert="horz" lIns="0" tIns="0" rIns="0" bIns="0" rtlCol="0">
                          <a:noAutofit/>
                        </wps:bodyPr>
                      </wps:wsp>
                      <wps:wsp>
                        <wps:cNvPr id="26" name="Rectangle 26"/>
                        <wps:cNvSpPr/>
                        <wps:spPr>
                          <a:xfrm>
                            <a:off x="1068629" y="1571498"/>
                            <a:ext cx="59389" cy="202692"/>
                          </a:xfrm>
                          <a:prstGeom prst="rect">
                            <a:avLst/>
                          </a:prstGeom>
                          <a:ln>
                            <a:noFill/>
                          </a:ln>
                        </wps:spPr>
                        <wps:txbx>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wps:txbx>
                        <wps:bodyPr horzOverflow="overflow" vert="horz" lIns="0" tIns="0" rIns="0" bIns="0" rtlCol="0">
                          <a:noAutofit/>
                        </wps:bodyPr>
                      </wps:wsp>
                    </wpg:wgp>
                  </a:graphicData>
                </a:graphic>
              </wp:anchor>
            </w:drawing>
          </mc:Choice>
          <mc:Fallback>
            <w:pict>
              <v:group w14:anchorId="67965FC9" id="Group 4551" o:spid="_x0000_s1026" style="position:absolute;margin-left:0;margin-top:0;width:595.3pt;height:162.55pt;z-index:251658240;mso-position-horizontal-relative:page;mso-position-vertical-relative:page" coordsize="75605,2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">
                <v:shape id="Shape 21" o:spid="_x0000_s1027" style="position:absolute;width:75605;height:20647;visibility:visible;mso-wrap-style:square;v-text-anchor:top" coordsize="7560564,206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" path="m,l7560564,r,1633898l,2064776,,xe" fillcolor="#31b7bc" stroked="f" strokeweight="0">
                  <v:stroke miterlimit="83231f" joinstyle="miter"/>
                  <v:path arrowok="t" textboxrect="0,0,7560564,2064776"/>
                </v:shape>
                <v:rect id="Rectangle 22" o:spid="_x0000_s1028" style="position:absolute;left:7291;top:4210;width:6515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D7F01C7" w14:textId="625C2775"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 xml:space="preserve">IRM: </w:t>
                        </w:r>
                        <w:r w:rsidR="004D1CB8">
                          <w:rPr>
                            <w:rFonts w:ascii="Flanders Art Serif" w:eastAsia="Flanders Art Serif" w:hAnsi="Flanders Art Serif" w:cs="Flanders Art Serif"/>
                            <w:b/>
                            <w:color w:val="FFFFFF"/>
                            <w:sz w:val="32"/>
                            <w:szCs w:val="32"/>
                          </w:rPr>
                          <w:t xml:space="preserve">aan de slag </w:t>
                        </w:r>
                        <w:r w:rsidR="0054436A">
                          <w:rPr>
                            <w:rFonts w:ascii="Flanders Art Serif" w:eastAsia="Flanders Art Serif" w:hAnsi="Flanders Art Serif" w:cs="Flanders Art Serif"/>
                            <w:b/>
                            <w:color w:val="FFFFFF"/>
                            <w:sz w:val="32"/>
                            <w:szCs w:val="32"/>
                          </w:rPr>
                          <w:t>met een praktijkleerove</w:t>
                        </w:r>
                        <w:r w:rsidR="00424A4A">
                          <w:rPr>
                            <w:rFonts w:ascii="Flanders Art Serif" w:eastAsia="Flanders Art Serif" w:hAnsi="Flanders Art Serif" w:cs="Flanders Art Serif"/>
                            <w:b/>
                            <w:color w:val="FFFFFF"/>
                            <w:sz w:val="32"/>
                            <w:szCs w:val="32"/>
                          </w:rPr>
                          <w:t>ree</w:t>
                        </w:r>
                        <w:r w:rsidR="0054436A">
                          <w:rPr>
                            <w:rFonts w:ascii="Flanders Art Serif" w:eastAsia="Flanders Art Serif" w:hAnsi="Flanders Art Serif" w:cs="Flanders Art Serif"/>
                            <w:b/>
                            <w:color w:val="FFFFFF"/>
                            <w:sz w:val="32"/>
                            <w:szCs w:val="32"/>
                          </w:rPr>
                          <w:t>nkomst in Nederland</w:t>
                        </w:r>
                        <w:r w:rsidR="008D6CB9" w:rsidRPr="00B34F26">
                          <w:rPr>
                            <w:rFonts w:ascii="Flanders Art Serif" w:eastAsia="Flanders Art Serif" w:hAnsi="Flanders Art Serif" w:cs="Flanders Art Serif"/>
                            <w:b/>
                            <w:color w:val="FFFFFF"/>
                            <w:sz w:val="32"/>
                            <w:szCs w:val="32"/>
                          </w:rPr>
                          <w:t xml:space="preserve"> </w:t>
                        </w:r>
                      </w:p>
                    </w:txbxContent>
                  </v:textbox>
                </v:rect>
                <v:rect id="Rectangle 23" o:spid="_x0000_s1029" style="position:absolute;left:7101;top:8826;width:65481;height:8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419284" w14:textId="009FCF21" w:rsidR="007776F9" w:rsidRDefault="00964328">
                        <w:pPr>
                          <w:spacing w:after="160" w:line="259" w:lineRule="auto"/>
                          <w:ind w:left="0" w:right="0" w:firstLine="0"/>
                          <w:jc w:val="left"/>
                        </w:pPr>
                        <w:r>
                          <w:rPr>
                            <w:rFonts w:ascii="Flanders Art Serif" w:eastAsia="Flanders Art Serif" w:hAnsi="Flanders Art Serif" w:cs="Flanders Art Serif"/>
                            <w:b/>
                            <w:color w:val="FFFFFF"/>
                            <w:sz w:val="52"/>
                          </w:rPr>
                          <w:t>Infofiche voor Nederlandse ondernemingen</w:t>
                        </w:r>
                        <w:r w:rsidR="008D6CB9">
                          <w:rPr>
                            <w:rFonts w:ascii="Flanders Art Serif" w:eastAsia="Flanders Art Serif" w:hAnsi="Flanders Art Serif" w:cs="Flanders Art Serif"/>
                            <w:b/>
                            <w:color w:val="FFFFFF"/>
                            <w:sz w:val="52"/>
                          </w:rPr>
                          <w:t xml:space="preserve"> </w:t>
                        </w:r>
                      </w:p>
                    </w:txbxContent>
                  </v:textbox>
                </v:rect>
                <v:rect id="Rectangle 24" o:spid="_x0000_s1030" style="position:absolute;left:28063;top:10445;width:128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v:textbox>
                </v:rect>
                <v:rect id="Rectangle 25" o:spid="_x0000_s1031" style="position:absolute;left:7196;top:15714;width:46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1CAEAD" w14:textId="385565EE" w:rsidR="007776F9" w:rsidRDefault="007776F9">
                        <w:pPr>
                          <w:spacing w:after="160" w:line="259" w:lineRule="auto"/>
                          <w:ind w:left="0" w:right="0" w:firstLine="0"/>
                          <w:jc w:val="left"/>
                        </w:pPr>
                      </w:p>
                    </w:txbxContent>
                  </v:textbox>
                </v:rect>
                <v:rect id="Rectangle 26" o:spid="_x0000_s1032" style="position:absolute;left:10686;top:15714;width:59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v:textbox>
                </v:rect>
                <w10:wrap type="topAndBottom" anchorx="page" anchory="page"/>
              </v:group>
            </w:pict>
          </mc:Fallback>
        </mc:AlternateContent>
      </w:r>
    </w:p>
    <w:p w14:paraId="0D6CE11A" w14:textId="6EA29EC2" w:rsidR="005E7B7C" w:rsidRPr="005E7B7C" w:rsidRDefault="005E7B7C" w:rsidP="005C3868">
      <w:pPr>
        <w:pStyle w:val="Kop1"/>
        <w:rPr>
          <w:rFonts w:ascii="FlandersArtSerif-Regular" w:hAnsi="FlandersArtSerif-Regular"/>
          <w:sz w:val="22"/>
        </w:rPr>
      </w:pPr>
      <w:r w:rsidRPr="005C3868">
        <w:t>Samenwerkingsovereenkomst</w:t>
      </w:r>
      <w:r w:rsidRPr="005E7B7C">
        <w:rPr>
          <w:rFonts w:ascii="FlandersArtSerif-Regular" w:hAnsi="FlandersArtSerif-Regular"/>
          <w:sz w:val="22"/>
        </w:rPr>
        <w:t xml:space="preserve"> </w:t>
      </w:r>
      <w:r w:rsidR="005C3868">
        <w:t>tussen Vlaanderen en Nederland</w:t>
      </w:r>
    </w:p>
    <w:p w14:paraId="2504644F" w14:textId="09B0C436" w:rsidR="005E7B7C" w:rsidRPr="005E7B7C" w:rsidRDefault="005E7B7C" w:rsidP="005E7B7C">
      <w:pPr>
        <w:rPr>
          <w:bCs/>
        </w:rPr>
      </w:pPr>
      <w:r w:rsidRPr="005E7B7C">
        <w:rPr>
          <w:bCs/>
        </w:rPr>
        <w:t>Op 17 september 2018 ondertekenden SYNTRA Vlaanderen en de Samenwerkingsorganisatie Beroepsonderwijs Bedrijfsleven (SBB) een samenwerkingsovereenkomst. Dankzij deze overeenkomst krijgen Vlaamse studenten uit de leerwegen Duaal Leren/Leren en Werken toegang tot een leerbaan in het Nederlandse bedrijfsleven.</w:t>
      </w:r>
      <w:r w:rsidR="00547D1C">
        <w:rPr>
          <w:bCs/>
        </w:rPr>
        <w:t xml:space="preserve"> Sedert 1 januari 2021 wordt de samenwerkingsovereenkomst langs Vlaamse kant opgevolgd door het Departement Werk en Sociale Economie</w:t>
      </w:r>
      <w:r w:rsidR="00296E7F">
        <w:rPr>
          <w:bCs/>
        </w:rPr>
        <w:t xml:space="preserve"> (DWSE)</w:t>
      </w:r>
      <w:r w:rsidR="00547D1C">
        <w:rPr>
          <w:bCs/>
        </w:rPr>
        <w:t>.</w:t>
      </w:r>
    </w:p>
    <w:p w14:paraId="3488F794" w14:textId="77777777" w:rsidR="005E7B7C" w:rsidRPr="005E7B7C" w:rsidRDefault="005E7B7C" w:rsidP="005E7B7C">
      <w:pPr>
        <w:rPr>
          <w:bCs/>
        </w:rPr>
      </w:pPr>
    </w:p>
    <w:p w14:paraId="058EAA2F" w14:textId="1B316661" w:rsidR="005E7B7C" w:rsidRPr="005E7B7C" w:rsidRDefault="00FB74AB" w:rsidP="00FB74AB">
      <w:pPr>
        <w:pStyle w:val="Kop1"/>
      </w:pPr>
      <w:r>
        <w:t>L</w:t>
      </w:r>
      <w:r w:rsidR="005E7B7C" w:rsidRPr="005E7B7C">
        <w:t>eerwegen in Vlaanderen</w:t>
      </w:r>
    </w:p>
    <w:p w14:paraId="4D237024" w14:textId="1BA3B090" w:rsidR="005E7B7C" w:rsidRPr="005E7B7C" w:rsidRDefault="005E7B7C" w:rsidP="005E7B7C">
      <w:pPr>
        <w:rPr>
          <w:bCs/>
        </w:rPr>
      </w:pPr>
      <w:r w:rsidRPr="005E7B7C">
        <w:rPr>
          <w:bCs/>
        </w:rPr>
        <w:t xml:space="preserve">Vlaanderen kent twee </w:t>
      </w:r>
      <w:r w:rsidR="00FB74AB">
        <w:rPr>
          <w:bCs/>
        </w:rPr>
        <w:t xml:space="preserve">systemen van </w:t>
      </w:r>
      <w:r w:rsidR="00296E7F">
        <w:rPr>
          <w:bCs/>
        </w:rPr>
        <w:t>leerwegen</w:t>
      </w:r>
      <w:r w:rsidR="00911FF0">
        <w:rPr>
          <w:bCs/>
        </w:rPr>
        <w:t>. I</w:t>
      </w:r>
      <w:r w:rsidR="00296E7F">
        <w:rPr>
          <w:bCs/>
        </w:rPr>
        <w:t xml:space="preserve">n </w:t>
      </w:r>
      <w:r w:rsidR="00911FF0">
        <w:rPr>
          <w:bCs/>
        </w:rPr>
        <w:t xml:space="preserve">Vlaanderen </w:t>
      </w:r>
      <w:r w:rsidR="00B87BA8">
        <w:rPr>
          <w:bCs/>
        </w:rPr>
        <w:t xml:space="preserve">spreken we dan van </w:t>
      </w:r>
      <w:r w:rsidR="00FB74AB">
        <w:rPr>
          <w:bCs/>
        </w:rPr>
        <w:t>alternerend leren</w:t>
      </w:r>
      <w:r w:rsidR="00547D1C">
        <w:rPr>
          <w:bCs/>
        </w:rPr>
        <w:t>. In alternerend leren combineert de leerling een aantal dagen op school met een beroepspraktijkvorming in een erkende leeronderneming</w:t>
      </w:r>
      <w:r w:rsidR="00DD00F1">
        <w:rPr>
          <w:bCs/>
        </w:rPr>
        <w:t>.</w:t>
      </w:r>
    </w:p>
    <w:p w14:paraId="6391EF37" w14:textId="77777777" w:rsidR="005E7B7C" w:rsidRPr="005E7B7C" w:rsidRDefault="005E7B7C" w:rsidP="005E7B7C">
      <w:pPr>
        <w:pStyle w:val="Lijstalinea"/>
        <w:numPr>
          <w:ilvl w:val="0"/>
          <w:numId w:val="9"/>
        </w:numPr>
        <w:tabs>
          <w:tab w:val="left" w:pos="3686"/>
        </w:tabs>
        <w:spacing w:after="0" w:line="270" w:lineRule="exact"/>
        <w:rPr>
          <w:rFonts w:ascii="FlandersArtSerif-Regular" w:hAnsi="FlandersArtSerif-Regular"/>
          <w:bCs/>
        </w:rPr>
      </w:pPr>
      <w:r w:rsidRPr="005E7B7C">
        <w:rPr>
          <w:rFonts w:ascii="FlandersArtSerif-Regular" w:hAnsi="FlandersArtSerif-Regular"/>
          <w:bCs/>
        </w:rPr>
        <w:t xml:space="preserve">Duaal leren: studenten uit het Technisch Onderwijs, het Beroepsonderwijs en het Buitengewoon Secundair Onderwijs. </w:t>
      </w:r>
    </w:p>
    <w:p w14:paraId="7092FE86" w14:textId="5F97F725" w:rsidR="005E7B7C" w:rsidRDefault="005E7B7C" w:rsidP="005E7B7C">
      <w:pPr>
        <w:pStyle w:val="Lijstalinea"/>
        <w:numPr>
          <w:ilvl w:val="0"/>
          <w:numId w:val="9"/>
        </w:numPr>
        <w:tabs>
          <w:tab w:val="left" w:pos="3686"/>
        </w:tabs>
        <w:spacing w:after="0" w:line="270" w:lineRule="exact"/>
        <w:rPr>
          <w:rFonts w:ascii="FlandersArtSerif-Regular" w:hAnsi="FlandersArtSerif-Regular"/>
          <w:bCs/>
        </w:rPr>
      </w:pPr>
      <w:r w:rsidRPr="005E7B7C">
        <w:rPr>
          <w:rFonts w:ascii="FlandersArtSerif-Regular" w:hAnsi="FlandersArtSerif-Regular"/>
          <w:bCs/>
        </w:rPr>
        <w:t>Leren en Werken: studenten uit het Deeltijds Onderwijs en de Leertijd.</w:t>
      </w:r>
      <w:r w:rsidR="00F30AB3">
        <w:rPr>
          <w:rFonts w:ascii="FlandersArtSerif-Regular" w:hAnsi="FlandersArtSerif-Regular"/>
          <w:bCs/>
        </w:rPr>
        <w:br/>
      </w:r>
    </w:p>
    <w:p w14:paraId="63F1375B" w14:textId="4315251B" w:rsidR="00F30AB3" w:rsidRPr="00F30AB3" w:rsidRDefault="00F30AB3" w:rsidP="00F30AB3">
      <w:pPr>
        <w:tabs>
          <w:tab w:val="left" w:pos="3686"/>
        </w:tabs>
        <w:spacing w:after="0" w:line="270" w:lineRule="exact"/>
        <w:rPr>
          <w:bCs/>
        </w:rPr>
      </w:pPr>
      <w:r>
        <w:rPr>
          <w:bCs/>
        </w:rPr>
        <w:t xml:space="preserve">Het systeem van Leren en Werken zal </w:t>
      </w:r>
      <w:r w:rsidR="00591D7C">
        <w:rPr>
          <w:bCs/>
        </w:rPr>
        <w:t xml:space="preserve">in de komende jaren </w:t>
      </w:r>
      <w:proofErr w:type="spellStart"/>
      <w:r w:rsidR="00591D7C">
        <w:rPr>
          <w:bCs/>
        </w:rPr>
        <w:t>ingekanteld</w:t>
      </w:r>
      <w:proofErr w:type="spellEnd"/>
      <w:r w:rsidR="00591D7C">
        <w:rPr>
          <w:bCs/>
        </w:rPr>
        <w:t xml:space="preserve"> worden in Duaal Leren.</w:t>
      </w:r>
    </w:p>
    <w:p w14:paraId="1A71DFB7" w14:textId="77777777" w:rsidR="00DD00F1" w:rsidRPr="005E7B7C" w:rsidRDefault="00DD00F1" w:rsidP="005E7B7C">
      <w:pPr>
        <w:rPr>
          <w:bCs/>
        </w:rPr>
      </w:pPr>
    </w:p>
    <w:p w14:paraId="4790BF13" w14:textId="77777777" w:rsidR="005E7B7C" w:rsidRPr="005E7B7C" w:rsidRDefault="005E7B7C" w:rsidP="004E4F05">
      <w:pPr>
        <w:pStyle w:val="Kop1"/>
      </w:pPr>
      <w:r w:rsidRPr="005E7B7C">
        <w:t>Voorwaarden samenwerking</w:t>
      </w:r>
    </w:p>
    <w:p w14:paraId="16FF26E7" w14:textId="77777777" w:rsidR="005E7B7C" w:rsidRPr="005E7B7C" w:rsidRDefault="005E7B7C" w:rsidP="005E7B7C">
      <w:pPr>
        <w:rPr>
          <w:bCs/>
        </w:rPr>
      </w:pPr>
      <w:r w:rsidRPr="005E7B7C">
        <w:rPr>
          <w:bCs/>
        </w:rPr>
        <w:t>Om een student uit Duaal Leren/Leren en Werken in een Nederlandse onderneming of organisatie op te leiden, zijn er twee voorwaarden:</w:t>
      </w:r>
    </w:p>
    <w:p w14:paraId="55842E14" w14:textId="77777777" w:rsidR="005E7B7C" w:rsidRPr="005E7B7C" w:rsidRDefault="005E7B7C" w:rsidP="005E7B7C">
      <w:pPr>
        <w:pStyle w:val="Lijstalinea"/>
        <w:numPr>
          <w:ilvl w:val="0"/>
          <w:numId w:val="6"/>
        </w:numPr>
        <w:tabs>
          <w:tab w:val="left" w:pos="3686"/>
        </w:tabs>
        <w:spacing w:after="0" w:line="270" w:lineRule="exact"/>
        <w:rPr>
          <w:rFonts w:ascii="FlandersArtSerif-Regular" w:hAnsi="FlandersArtSerif-Regular"/>
          <w:bCs/>
        </w:rPr>
      </w:pPr>
      <w:r w:rsidRPr="005E7B7C">
        <w:rPr>
          <w:rFonts w:ascii="FlandersArtSerif-Regular" w:hAnsi="FlandersArtSerif-Regular"/>
          <w:bCs/>
        </w:rPr>
        <w:t>De Nederlandse onderneming is een erkend leerbedrijf in Nederland</w:t>
      </w:r>
    </w:p>
    <w:p w14:paraId="4AE89E04" w14:textId="77777777" w:rsidR="005E7B7C" w:rsidRPr="005E7B7C" w:rsidRDefault="005E7B7C" w:rsidP="005E7B7C">
      <w:pPr>
        <w:pStyle w:val="Lijstalinea"/>
        <w:numPr>
          <w:ilvl w:val="0"/>
          <w:numId w:val="6"/>
        </w:numPr>
        <w:tabs>
          <w:tab w:val="left" w:pos="3686"/>
        </w:tabs>
        <w:spacing w:after="0" w:line="270" w:lineRule="exact"/>
        <w:rPr>
          <w:rFonts w:ascii="FlandersArtSerif-Regular" w:hAnsi="FlandersArtSerif-Regular"/>
          <w:bCs/>
        </w:rPr>
      </w:pPr>
      <w:r w:rsidRPr="005E7B7C">
        <w:rPr>
          <w:rFonts w:ascii="FlandersArtSerif-Regular" w:hAnsi="FlandersArtSerif-Regular"/>
          <w:bCs/>
        </w:rPr>
        <w:t>De Nederlandse onderneming is erkend voor een Nederlands kwalificatiedossier dat gelijkwaardig is aan het Vlaamse opleidingstraject van de student</w:t>
      </w:r>
    </w:p>
    <w:p w14:paraId="5902D6BE" w14:textId="77777777" w:rsidR="005E7B7C" w:rsidRPr="005E7B7C" w:rsidRDefault="005E7B7C" w:rsidP="005E7B7C">
      <w:pPr>
        <w:rPr>
          <w:bCs/>
        </w:rPr>
      </w:pPr>
    </w:p>
    <w:p w14:paraId="5CF52850" w14:textId="77777777" w:rsidR="005E7B7C" w:rsidRPr="005E7B7C" w:rsidRDefault="005E7B7C" w:rsidP="00493EC5">
      <w:pPr>
        <w:pStyle w:val="Kop1"/>
      </w:pPr>
      <w:r w:rsidRPr="005E7B7C">
        <w:lastRenderedPageBreak/>
        <w:t>Erkend leerbedrijf</w:t>
      </w:r>
    </w:p>
    <w:p w14:paraId="4418777A" w14:textId="77777777" w:rsidR="005E7B7C" w:rsidRPr="005E7B7C" w:rsidRDefault="005E7B7C" w:rsidP="00493EC5">
      <w:pPr>
        <w:jc w:val="left"/>
        <w:rPr>
          <w:bCs/>
        </w:rPr>
      </w:pPr>
      <w:r w:rsidRPr="005E7B7C">
        <w:rPr>
          <w:bCs/>
        </w:rPr>
        <w:t>Erkenning van leerbedrijven gebeurt in Nederland door SBB. De Nederlandse onderneming kan zelf via de website van SBB de erkenning aanvragen.</w:t>
      </w:r>
      <w:r w:rsidRPr="005E7B7C">
        <w:rPr>
          <w:bCs/>
        </w:rPr>
        <w:br/>
        <w:t xml:space="preserve">Link:  </w:t>
      </w:r>
      <w:hyperlink r:id="rId10" w:history="1">
        <w:r w:rsidRPr="005E7B7C">
          <w:rPr>
            <w:rStyle w:val="Hyperlink"/>
            <w:bCs/>
          </w:rPr>
          <w:t>https://www.s-bb.nl/bedrijven/erkenning/leerbedrijf-worden</w:t>
        </w:r>
      </w:hyperlink>
      <w:r w:rsidRPr="005E7B7C">
        <w:rPr>
          <w:bCs/>
        </w:rPr>
        <w:t xml:space="preserve"> . </w:t>
      </w:r>
    </w:p>
    <w:p w14:paraId="79AC6B2B" w14:textId="77777777" w:rsidR="005E7B7C" w:rsidRPr="005E7B7C" w:rsidRDefault="005E7B7C" w:rsidP="00493EC5">
      <w:pPr>
        <w:pStyle w:val="Kop1"/>
      </w:pPr>
      <w:r w:rsidRPr="005E7B7C">
        <w:br/>
        <w:t>Gelijkwaardige opleiding</w:t>
      </w:r>
    </w:p>
    <w:p w14:paraId="66984761" w14:textId="77777777" w:rsidR="005E7B7C" w:rsidRPr="005E7B7C" w:rsidRDefault="005E7B7C" w:rsidP="005E7B7C">
      <w:pPr>
        <w:rPr>
          <w:bCs/>
        </w:rPr>
      </w:pPr>
      <w:r w:rsidRPr="005E7B7C">
        <w:rPr>
          <w:bCs/>
        </w:rPr>
        <w:t xml:space="preserve">De student van een Vlaamse instelling kan enkel bij een Nederlands leerbedrijf terecht, indien er voor de Vlaamse opleiding die hij volgt ook een vergelijkbaar Nederlands kwalificatiedossier bestaat. Doorgaans is dit het geval. Bij twijfel zullen </w:t>
      </w:r>
      <w:proofErr w:type="spellStart"/>
      <w:r w:rsidRPr="005E7B7C">
        <w:rPr>
          <w:bCs/>
        </w:rPr>
        <w:t>Syntra</w:t>
      </w:r>
      <w:proofErr w:type="spellEnd"/>
      <w:r w:rsidRPr="005E7B7C">
        <w:rPr>
          <w:bCs/>
        </w:rPr>
        <w:t xml:space="preserve"> Vlaanderen en SBB in onderling overleg een beslissing nemen. </w:t>
      </w:r>
    </w:p>
    <w:p w14:paraId="7AF750B1" w14:textId="77777777" w:rsidR="005E7B7C" w:rsidRPr="005E7B7C" w:rsidRDefault="005E7B7C" w:rsidP="005E7B7C">
      <w:pPr>
        <w:rPr>
          <w:bCs/>
        </w:rPr>
      </w:pPr>
    </w:p>
    <w:p w14:paraId="7CDF8B2F" w14:textId="77777777" w:rsidR="005E7B7C" w:rsidRPr="005E7B7C" w:rsidRDefault="005E7B7C" w:rsidP="00591D7C">
      <w:pPr>
        <w:pStyle w:val="Kop1"/>
      </w:pPr>
      <w:r w:rsidRPr="005E7B7C">
        <w:t>Afsluiten overeenkomst</w:t>
      </w:r>
    </w:p>
    <w:p w14:paraId="26EB9811" w14:textId="77777777" w:rsidR="005E7B7C" w:rsidRPr="005E7B7C" w:rsidRDefault="005E7B7C" w:rsidP="005E7B7C">
      <w:pPr>
        <w:rPr>
          <w:bCs/>
        </w:rPr>
      </w:pPr>
      <w:r w:rsidRPr="005E7B7C">
        <w:rPr>
          <w:bCs/>
        </w:rPr>
        <w:t>De Vlaamse instelling sluit een overeenkomst met de Nederlandse onderneming af rekening houdend met de arbeidswetgeving in Nederland en de onderwijswetgeving in Vlaanderen. Deze overeenkomst kan betrekking hebben op een onbetaalde of een betaalde stage. De keuze tussen een onbetaalde of betaalde stage wordt in Vlaanderen vaak bepaald door het opleidingstraject dat de student volgt en is dus minder vrijblijvend dan in Nederland.</w:t>
      </w:r>
    </w:p>
    <w:p w14:paraId="37357FBF" w14:textId="77777777" w:rsidR="005E7B7C" w:rsidRPr="005E7B7C" w:rsidRDefault="005E7B7C" w:rsidP="005E7B7C">
      <w:pPr>
        <w:rPr>
          <w:bCs/>
        </w:rPr>
      </w:pPr>
    </w:p>
    <w:p w14:paraId="1A728560" w14:textId="77777777" w:rsidR="005E7B7C" w:rsidRPr="005E7B7C" w:rsidRDefault="005E7B7C" w:rsidP="00A15294">
      <w:pPr>
        <w:pStyle w:val="Kop1"/>
      </w:pPr>
      <w:r w:rsidRPr="005E7B7C">
        <w:t>Onbetaalde stage (vergelijkbaar met BOL-leerweg)</w:t>
      </w:r>
    </w:p>
    <w:p w14:paraId="36737630" w14:textId="77777777" w:rsidR="005E7B7C" w:rsidRPr="005E7B7C" w:rsidRDefault="005E7B7C" w:rsidP="005E7B7C">
      <w:pPr>
        <w:spacing w:line="240" w:lineRule="auto"/>
        <w:rPr>
          <w:bCs/>
        </w:rPr>
      </w:pPr>
      <w:r w:rsidRPr="005E7B7C">
        <w:rPr>
          <w:bCs/>
        </w:rPr>
        <w:t>De Vlaamse instelling sluit een praktijkovereenkomst met de Nederlandse onderneming af aan de hand van de volgende documenten:</w:t>
      </w:r>
    </w:p>
    <w:p w14:paraId="0689DFC4" w14:textId="12077EEC" w:rsidR="005E7B7C" w:rsidRPr="005E7B7C" w:rsidRDefault="000543C8" w:rsidP="005E7B7C">
      <w:pPr>
        <w:pStyle w:val="Lijstalinea"/>
        <w:numPr>
          <w:ilvl w:val="0"/>
          <w:numId w:val="10"/>
        </w:numPr>
        <w:tabs>
          <w:tab w:val="left" w:pos="3686"/>
        </w:tabs>
        <w:spacing w:after="0" w:line="240" w:lineRule="auto"/>
        <w:rPr>
          <w:rFonts w:ascii="FlandersArtSerif-Regular" w:eastAsia="Times New Roman" w:hAnsi="FlandersArtSerif-Regular"/>
          <w:bCs/>
        </w:rPr>
      </w:pPr>
      <w:r>
        <w:rPr>
          <w:rFonts w:ascii="FlandersArtSerif-Regular" w:eastAsia="Times New Roman" w:hAnsi="FlandersArtSerif-Regular"/>
          <w:bCs/>
        </w:rPr>
        <w:t>Model</w:t>
      </w:r>
      <w:r w:rsidR="005E7B7C" w:rsidRPr="005E7B7C">
        <w:rPr>
          <w:rFonts w:ascii="FlandersArtSerif-Regular" w:eastAsia="Times New Roman" w:hAnsi="FlandersArtSerif-Regular"/>
          <w:bCs/>
        </w:rPr>
        <w:t xml:space="preserve"> praktijkovereenkomst</w:t>
      </w:r>
    </w:p>
    <w:p w14:paraId="725A0AE3" w14:textId="43A0A222" w:rsidR="005E7B7C" w:rsidRPr="005E7B7C" w:rsidRDefault="000543C8" w:rsidP="005E7B7C">
      <w:pPr>
        <w:pStyle w:val="Lijstalinea"/>
        <w:numPr>
          <w:ilvl w:val="0"/>
          <w:numId w:val="10"/>
        </w:numPr>
        <w:tabs>
          <w:tab w:val="left" w:pos="3686"/>
        </w:tabs>
        <w:spacing w:after="0" w:line="240" w:lineRule="auto"/>
        <w:rPr>
          <w:rFonts w:ascii="FlandersArtSerif-Regular" w:eastAsia="Times New Roman" w:hAnsi="FlandersArtSerif-Regular"/>
          <w:bCs/>
        </w:rPr>
      </w:pPr>
      <w:r>
        <w:rPr>
          <w:rFonts w:ascii="FlandersArtSerif-Regular" w:eastAsia="Times New Roman" w:hAnsi="FlandersArtSerif-Regular"/>
          <w:bCs/>
        </w:rPr>
        <w:t>Model</w:t>
      </w:r>
      <w:r w:rsidR="00290EE6">
        <w:rPr>
          <w:rFonts w:ascii="FlandersArtSerif-Regular" w:eastAsia="Times New Roman" w:hAnsi="FlandersArtSerif-Regular"/>
          <w:bCs/>
        </w:rPr>
        <w:t xml:space="preserve"> </w:t>
      </w:r>
      <w:r w:rsidR="005E7B7C" w:rsidRPr="005E7B7C">
        <w:rPr>
          <w:rFonts w:ascii="FlandersArtSerif-Regular" w:eastAsia="Times New Roman" w:hAnsi="FlandersArtSerif-Regular"/>
          <w:bCs/>
        </w:rPr>
        <w:t xml:space="preserve">algemene voorwaarden bij </w:t>
      </w:r>
      <w:r w:rsidR="00290EE6">
        <w:rPr>
          <w:rFonts w:ascii="FlandersArtSerif-Regular" w:eastAsia="Times New Roman" w:hAnsi="FlandersArtSerif-Regular"/>
          <w:bCs/>
        </w:rPr>
        <w:t>de praktijkleerovereenkomst</w:t>
      </w:r>
    </w:p>
    <w:p w14:paraId="03609882" w14:textId="10B7756B" w:rsidR="005E7B7C" w:rsidRPr="005E7B7C" w:rsidRDefault="00290EE6" w:rsidP="005E7B7C">
      <w:pPr>
        <w:pStyle w:val="Lijstalinea"/>
        <w:numPr>
          <w:ilvl w:val="0"/>
          <w:numId w:val="10"/>
        </w:numPr>
        <w:tabs>
          <w:tab w:val="left" w:pos="3686"/>
        </w:tabs>
        <w:spacing w:after="0" w:line="240" w:lineRule="auto"/>
        <w:rPr>
          <w:rFonts w:ascii="FlandersArtSerif-Regular" w:eastAsia="Times New Roman" w:hAnsi="FlandersArtSerif-Regular"/>
          <w:bCs/>
        </w:rPr>
      </w:pPr>
      <w:r>
        <w:rPr>
          <w:rFonts w:ascii="FlandersArtSerif-Regular" w:eastAsia="Times New Roman" w:hAnsi="FlandersArtSerif-Regular"/>
          <w:bCs/>
        </w:rPr>
        <w:t xml:space="preserve">Model </w:t>
      </w:r>
      <w:r w:rsidR="005E7B7C" w:rsidRPr="005E7B7C">
        <w:rPr>
          <w:rFonts w:ascii="FlandersArtSerif-Regular" w:eastAsia="Times New Roman" w:hAnsi="FlandersArtSerif-Regular"/>
          <w:bCs/>
        </w:rPr>
        <w:t xml:space="preserve">wijzigingen </w:t>
      </w:r>
      <w:r>
        <w:rPr>
          <w:rFonts w:ascii="FlandersArtSerif-Regular" w:eastAsia="Times New Roman" w:hAnsi="FlandersArtSerif-Regular"/>
          <w:bCs/>
        </w:rPr>
        <w:t>bij de praktijkleerovereenkomst</w:t>
      </w:r>
    </w:p>
    <w:p w14:paraId="2BC77863" w14:textId="77777777" w:rsidR="005E7B7C" w:rsidRPr="005E7B7C" w:rsidRDefault="005E7B7C" w:rsidP="005E7B7C">
      <w:pPr>
        <w:rPr>
          <w:bCs/>
        </w:rPr>
      </w:pPr>
    </w:p>
    <w:p w14:paraId="1E623A8B" w14:textId="77777777" w:rsidR="005E7B7C" w:rsidRPr="005E7B7C" w:rsidRDefault="005E7B7C" w:rsidP="00A15294">
      <w:pPr>
        <w:pStyle w:val="Kop1"/>
      </w:pPr>
      <w:r w:rsidRPr="005E7B7C">
        <w:t>Betaalde stage (vergelijkbaar met BBL-leerweg)</w:t>
      </w:r>
    </w:p>
    <w:p w14:paraId="396CB266" w14:textId="7B30B063" w:rsidR="005E7B7C" w:rsidRPr="005E7B7C" w:rsidRDefault="005E7B7C" w:rsidP="005E7B7C">
      <w:pPr>
        <w:rPr>
          <w:bCs/>
        </w:rPr>
      </w:pPr>
      <w:r w:rsidRPr="005E7B7C">
        <w:rPr>
          <w:bCs/>
        </w:rPr>
        <w:t xml:space="preserve">De Vlaamse instelling sluit een </w:t>
      </w:r>
      <w:r w:rsidR="00A15294">
        <w:rPr>
          <w:bCs/>
        </w:rPr>
        <w:t>praktijk</w:t>
      </w:r>
      <w:r w:rsidRPr="005E7B7C">
        <w:rPr>
          <w:bCs/>
        </w:rPr>
        <w:t>leerovereenkomst met de Nederlandse onderneming af aan de hand van de volgende documenten:</w:t>
      </w:r>
    </w:p>
    <w:p w14:paraId="1A04CCF9" w14:textId="636848AB" w:rsidR="005E7B7C" w:rsidRPr="005E7B7C" w:rsidRDefault="00A15294" w:rsidP="005E7B7C">
      <w:pPr>
        <w:pStyle w:val="Lijstalinea"/>
        <w:numPr>
          <w:ilvl w:val="0"/>
          <w:numId w:val="7"/>
        </w:numPr>
        <w:tabs>
          <w:tab w:val="left" w:pos="3686"/>
        </w:tabs>
        <w:spacing w:after="0" w:line="270" w:lineRule="exact"/>
        <w:rPr>
          <w:rFonts w:ascii="FlandersArtSerif-Regular" w:hAnsi="FlandersArtSerif-Regular"/>
          <w:bCs/>
        </w:rPr>
      </w:pPr>
      <w:r>
        <w:rPr>
          <w:rFonts w:ascii="FlandersArtSerif-Regular" w:hAnsi="FlandersArtSerif-Regular"/>
          <w:bCs/>
        </w:rPr>
        <w:t>Model</w:t>
      </w:r>
      <w:r w:rsidR="005E7B7C" w:rsidRPr="005E7B7C">
        <w:rPr>
          <w:rFonts w:ascii="FlandersArtSerif-Regular" w:hAnsi="FlandersArtSerif-Regular"/>
          <w:bCs/>
        </w:rPr>
        <w:t xml:space="preserve"> </w:t>
      </w:r>
      <w:r>
        <w:rPr>
          <w:rFonts w:ascii="FlandersArtSerif-Regular" w:hAnsi="FlandersArtSerif-Regular"/>
          <w:bCs/>
        </w:rPr>
        <w:t>praktijk</w:t>
      </w:r>
      <w:r w:rsidR="005E7B7C" w:rsidRPr="005E7B7C">
        <w:rPr>
          <w:rFonts w:ascii="FlandersArtSerif-Regular" w:hAnsi="FlandersArtSerif-Regular"/>
          <w:bCs/>
        </w:rPr>
        <w:t>leerovereenkomst</w:t>
      </w:r>
    </w:p>
    <w:p w14:paraId="45381EBC" w14:textId="4F2831B0" w:rsidR="005E7B7C" w:rsidRPr="005E7B7C" w:rsidRDefault="00A15294" w:rsidP="005E7B7C">
      <w:pPr>
        <w:pStyle w:val="Lijstalinea"/>
        <w:numPr>
          <w:ilvl w:val="0"/>
          <w:numId w:val="7"/>
        </w:numPr>
        <w:tabs>
          <w:tab w:val="left" w:pos="3686"/>
        </w:tabs>
        <w:spacing w:after="0" w:line="270" w:lineRule="exact"/>
        <w:rPr>
          <w:rFonts w:ascii="FlandersArtSerif-Regular" w:hAnsi="FlandersArtSerif-Regular"/>
          <w:bCs/>
        </w:rPr>
      </w:pPr>
      <w:r>
        <w:rPr>
          <w:rFonts w:ascii="FlandersArtSerif-Regular" w:hAnsi="FlandersArtSerif-Regular"/>
          <w:bCs/>
        </w:rPr>
        <w:t xml:space="preserve">Model </w:t>
      </w:r>
      <w:r w:rsidR="005E7B7C" w:rsidRPr="005E7B7C">
        <w:rPr>
          <w:rFonts w:ascii="FlandersArtSerif-Regular" w:hAnsi="FlandersArtSerif-Regular"/>
          <w:bCs/>
        </w:rPr>
        <w:t xml:space="preserve">uurrooster bij de </w:t>
      </w:r>
      <w:r w:rsidR="00046C8F">
        <w:rPr>
          <w:rFonts w:ascii="FlandersArtSerif-Regular" w:hAnsi="FlandersArtSerif-Regular"/>
          <w:bCs/>
        </w:rPr>
        <w:t>prakrijk</w:t>
      </w:r>
      <w:r w:rsidR="005E7B7C" w:rsidRPr="005E7B7C">
        <w:rPr>
          <w:rFonts w:ascii="FlandersArtSerif-Regular" w:hAnsi="FlandersArtSerif-Regular"/>
          <w:bCs/>
        </w:rPr>
        <w:t>leerovereenkomst</w:t>
      </w:r>
      <w:r w:rsidR="005E7B7C" w:rsidRPr="005E7B7C">
        <w:rPr>
          <w:rFonts w:ascii="FlandersArtSerif-Regular" w:hAnsi="FlandersArtSerif-Regular"/>
          <w:bCs/>
        </w:rPr>
        <w:br/>
      </w:r>
    </w:p>
    <w:p w14:paraId="14FFE791" w14:textId="77777777" w:rsidR="005E7B7C" w:rsidRPr="005E7B7C" w:rsidRDefault="005E7B7C" w:rsidP="005E7B7C">
      <w:pPr>
        <w:rPr>
          <w:bCs/>
        </w:rPr>
      </w:pPr>
      <w:r w:rsidRPr="005E7B7C">
        <w:rPr>
          <w:bCs/>
        </w:rPr>
        <w:t xml:space="preserve">De Nederlandse onderneming sluit bijkomend een (leerling)arbeidsovereenkomst met de student af. </w:t>
      </w:r>
    </w:p>
    <w:p w14:paraId="00CA913A" w14:textId="77777777" w:rsidR="00046C8F" w:rsidRDefault="00046C8F" w:rsidP="00046C8F">
      <w:pPr>
        <w:pStyle w:val="Kop1"/>
      </w:pPr>
    </w:p>
    <w:p w14:paraId="5A709006" w14:textId="246755F4" w:rsidR="005E7B7C" w:rsidRPr="005E7B7C" w:rsidRDefault="005E7B7C" w:rsidP="00046C8F">
      <w:pPr>
        <w:pStyle w:val="Kop1"/>
      </w:pPr>
      <w:r w:rsidRPr="005E7B7C">
        <w:t xml:space="preserve">Aansprakelijkheid </w:t>
      </w:r>
      <w:r w:rsidR="00F423AD">
        <w:t>leeronderneming</w:t>
      </w:r>
    </w:p>
    <w:p w14:paraId="2B5213EB" w14:textId="6A69FC23" w:rsidR="005E7B7C" w:rsidRPr="005E7B7C" w:rsidRDefault="00F423AD" w:rsidP="005E7B7C">
      <w:pPr>
        <w:rPr>
          <w:bCs/>
          <w:lang w:val="nl-NL"/>
        </w:rPr>
      </w:pPr>
      <w:r>
        <w:rPr>
          <w:bCs/>
        </w:rPr>
        <w:t>De leeronderneming</w:t>
      </w:r>
      <w:r w:rsidR="005E7B7C" w:rsidRPr="005E7B7C">
        <w:rPr>
          <w:bCs/>
        </w:rPr>
        <w:t xml:space="preserve"> is wettelijk aansprakelijk als een student bij het verrichten van zijn activiteiten zelf schade lijdt of aan derden schade toebrengt (artikel 6:170 en artikel 7:658 Burgerlijk Wetboek). Het leerbedrijf sluit een </w:t>
      </w:r>
      <w:r w:rsidR="005E7B7C" w:rsidRPr="005E7B7C">
        <w:rPr>
          <w:bCs/>
          <w:lang w:val="nl-NL"/>
        </w:rPr>
        <w:t>aansprakelijkheidsverzekering voor bedrijven en beroepen (AVB) af die de wettelijke aansprakelijkheid dekt.</w:t>
      </w:r>
    </w:p>
    <w:p w14:paraId="06D2DAC4" w14:textId="77777777" w:rsidR="005E7B7C" w:rsidRPr="005E7B7C" w:rsidRDefault="005E7B7C" w:rsidP="005E7B7C">
      <w:pPr>
        <w:rPr>
          <w:bCs/>
          <w:lang w:val="nl-NL"/>
        </w:rPr>
      </w:pPr>
    </w:p>
    <w:p w14:paraId="621F541D" w14:textId="77777777" w:rsidR="005E7B7C" w:rsidRPr="005E7B7C" w:rsidRDefault="005E7B7C" w:rsidP="00D14505">
      <w:pPr>
        <w:pStyle w:val="Kop1"/>
      </w:pPr>
      <w:r w:rsidRPr="005E7B7C">
        <w:t>Informatie</w:t>
      </w:r>
    </w:p>
    <w:p w14:paraId="66EABE3D" w14:textId="6BA6C174" w:rsidR="005E7B7C" w:rsidRPr="005E7B7C" w:rsidRDefault="005E7B7C" w:rsidP="005E7B7C">
      <w:pPr>
        <w:rPr>
          <w:bCs/>
        </w:rPr>
      </w:pPr>
      <w:r w:rsidRPr="005E7B7C">
        <w:rPr>
          <w:bCs/>
        </w:rPr>
        <w:t xml:space="preserve">Voor bijkomende informatie </w:t>
      </w:r>
      <w:r w:rsidR="00D14505">
        <w:rPr>
          <w:bCs/>
        </w:rPr>
        <w:t xml:space="preserve">kunt u contact opnemen met </w:t>
      </w:r>
      <w:r w:rsidR="00074F27">
        <w:rPr>
          <w:bCs/>
        </w:rPr>
        <w:t>DWSE en SBB</w:t>
      </w:r>
      <w:r w:rsidRPr="005E7B7C">
        <w:rPr>
          <w:bCs/>
        </w:rPr>
        <w:t>:</w:t>
      </w:r>
    </w:p>
    <w:p w14:paraId="569124F7" w14:textId="1308D98D" w:rsidR="005E7B7C" w:rsidRPr="005E7B7C" w:rsidRDefault="00074F27" w:rsidP="005E7B7C">
      <w:pPr>
        <w:pStyle w:val="Lijstalinea"/>
        <w:numPr>
          <w:ilvl w:val="0"/>
          <w:numId w:val="8"/>
        </w:numPr>
        <w:tabs>
          <w:tab w:val="left" w:pos="3686"/>
        </w:tabs>
        <w:spacing w:after="0" w:line="270" w:lineRule="exact"/>
        <w:rPr>
          <w:rFonts w:ascii="FlandersArtSerif-Regular" w:hAnsi="FlandersArtSerif-Regular"/>
          <w:bCs/>
        </w:rPr>
      </w:pPr>
      <w:r>
        <w:rPr>
          <w:rFonts w:ascii="FlandersArtSerif-Regular" w:hAnsi="FlandersArtSerif-Regular"/>
          <w:bCs/>
        </w:rPr>
        <w:t>DWSE</w:t>
      </w:r>
      <w:r w:rsidR="005E7B7C" w:rsidRPr="005E7B7C">
        <w:rPr>
          <w:rFonts w:ascii="FlandersArtSerif-Regular" w:hAnsi="FlandersArtSerif-Regular"/>
          <w:bCs/>
        </w:rPr>
        <w:t xml:space="preserve">: </w:t>
      </w:r>
      <w:hyperlink r:id="rId11" w:history="1">
        <w:r w:rsidRPr="00ED4A83">
          <w:rPr>
            <w:rStyle w:val="Hyperlink"/>
            <w:rFonts w:ascii="FlandersArtSerif-Regular" w:hAnsi="FlandersArtSerif-Regular"/>
            <w:bCs/>
          </w:rPr>
          <w:t>duaalleren@vlaanderen.be</w:t>
        </w:r>
      </w:hyperlink>
      <w:r w:rsidR="005E7B7C" w:rsidRPr="005E7B7C">
        <w:rPr>
          <w:rFonts w:ascii="FlandersArtSerif-Regular" w:hAnsi="FlandersArtSerif-Regular"/>
          <w:bCs/>
        </w:rPr>
        <w:t xml:space="preserve"> .</w:t>
      </w:r>
    </w:p>
    <w:p w14:paraId="19440CC5" w14:textId="511574AA" w:rsidR="005E7B7C" w:rsidRPr="005E7B7C" w:rsidRDefault="005E7B7C" w:rsidP="005E7B7C">
      <w:pPr>
        <w:pStyle w:val="Lijstalinea"/>
        <w:numPr>
          <w:ilvl w:val="0"/>
          <w:numId w:val="8"/>
        </w:numPr>
        <w:tabs>
          <w:tab w:val="left" w:pos="3686"/>
        </w:tabs>
        <w:spacing w:after="0" w:line="270" w:lineRule="exact"/>
        <w:rPr>
          <w:rFonts w:ascii="FlandersArtSerif-Regular" w:hAnsi="FlandersArtSerif-Regular"/>
          <w:bCs/>
          <w:lang w:val="en-US"/>
        </w:rPr>
      </w:pPr>
      <w:r w:rsidRPr="005E7B7C">
        <w:rPr>
          <w:rFonts w:ascii="FlandersArtSerif-Regular" w:hAnsi="FlandersArtSerif-Regular"/>
          <w:bCs/>
          <w:lang w:val="en-US"/>
        </w:rPr>
        <w:t xml:space="preserve">SBB: </w:t>
      </w:r>
      <w:hyperlink r:id="rId12" w:history="1">
        <w:r w:rsidR="00074F27" w:rsidRPr="00ED4A83">
          <w:rPr>
            <w:rStyle w:val="Hyperlink"/>
            <w:rFonts w:ascii="FlandersArtSerif-Regular" w:hAnsi="FlandersArtSerif-Regular"/>
            <w:bCs/>
            <w:lang w:val="en-US"/>
          </w:rPr>
          <w:t>info@s-bb.nl</w:t>
        </w:r>
      </w:hyperlink>
      <w:r w:rsidRPr="005E7B7C">
        <w:rPr>
          <w:rFonts w:ascii="FlandersArtSerif-Regular" w:hAnsi="FlandersArtSerif-Regular"/>
          <w:bCs/>
          <w:lang w:val="en-US"/>
        </w:rPr>
        <w:t xml:space="preserve"> .</w:t>
      </w:r>
    </w:p>
    <w:p w14:paraId="62AAB0C4" w14:textId="77777777" w:rsidR="005E7B7C" w:rsidRPr="005E7B7C" w:rsidRDefault="005E7B7C" w:rsidP="005E7B7C">
      <w:pPr>
        <w:rPr>
          <w:bCs/>
          <w:lang w:val="en-US"/>
        </w:rPr>
      </w:pPr>
    </w:p>
    <w:p w14:paraId="7914F6CF" w14:textId="494C28D1" w:rsidR="007776F9" w:rsidRPr="005E7B7C" w:rsidRDefault="007776F9" w:rsidP="003C30CA">
      <w:pPr>
        <w:pStyle w:val="Geenafstand"/>
        <w:rPr>
          <w:bCs/>
          <w:lang w:val="en-US"/>
        </w:rPr>
      </w:pPr>
    </w:p>
    <w:sectPr w:rsidR="007776F9" w:rsidRPr="005E7B7C">
      <w:footerReference w:type="even" r:id="rId13"/>
      <w:footerReference w:type="default" r:id="rId14"/>
      <w:footerReference w:type="first" r:id="rId15"/>
      <w:pgSz w:w="11906" w:h="16838"/>
      <w:pgMar w:top="1440" w:right="847" w:bottom="1440" w:left="1115" w:header="708" w:footer="10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BD885" w14:textId="77777777" w:rsidR="00FC7B19" w:rsidRDefault="00FC7B19">
      <w:pPr>
        <w:spacing w:after="0" w:line="240" w:lineRule="auto"/>
      </w:pPr>
      <w:r>
        <w:separator/>
      </w:r>
    </w:p>
  </w:endnote>
  <w:endnote w:type="continuationSeparator" w:id="0">
    <w:p w14:paraId="33E5853A" w14:textId="77777777" w:rsidR="00FC7B19" w:rsidRDefault="00FC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charset w:val="00"/>
    <w:family w:val="auto"/>
    <w:pitch w:val="variable"/>
    <w:sig w:usb0="00000007" w:usb1="00000000" w:usb2="00000000" w:usb3="00000000" w:csb0="00000093" w:csb1="00000000"/>
  </w:font>
  <w:font w:name="Flanders Art Sans">
    <w:altName w:val="Cambria"/>
    <w:panose1 w:val="00000000000000000000"/>
    <w:charset w:val="00"/>
    <w:family w:val="roman"/>
    <w:notTrueType/>
    <w:pitch w:val="default"/>
  </w:font>
  <w:font w:name="Flanders Ar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DD2D"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24BB2B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r w:rsidR="00B00E28">
      <w:fldChar w:fldCharType="begin"/>
    </w:r>
    <w:r w:rsidR="00B00E28">
      <w:instrText xml:space="preserve"> NUMPAGES   \* MERGEFORMAT </w:instrText>
    </w:r>
    <w:r w:rsidR="00B00E28">
      <w:fldChar w:fldCharType="separate"/>
    </w:r>
    <w:r>
      <w:rPr>
        <w:color w:val="31B7BC"/>
        <w:sz w:val="16"/>
      </w:rPr>
      <w:t>4</w:t>
    </w:r>
    <w:r w:rsidR="00B00E28">
      <w:rPr>
        <w:color w:val="31B7BC"/>
        <w:sz w:val="16"/>
      </w:rPr>
      <w:fldChar w:fldCharType="end"/>
    </w:r>
    <w:r>
      <w:rPr>
        <w:color w:val="31B7BC"/>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575B"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753FAD4"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r w:rsidR="00B00E28">
      <w:fldChar w:fldCharType="begin"/>
    </w:r>
    <w:r w:rsidR="00B00E28">
      <w:instrText xml:space="preserve"> NUMPAGES   \* MERGEFORMAT </w:instrText>
    </w:r>
    <w:r w:rsidR="00B00E28">
      <w:fldChar w:fldCharType="separate"/>
    </w:r>
    <w:r>
      <w:rPr>
        <w:color w:val="31B7BC"/>
        <w:sz w:val="16"/>
      </w:rPr>
      <w:t>4</w:t>
    </w:r>
    <w:r w:rsidR="00B00E28">
      <w:rPr>
        <w:color w:val="31B7BC"/>
        <w:sz w:val="16"/>
      </w:rPr>
      <w:fldChar w:fldCharType="end"/>
    </w:r>
    <w:r>
      <w:rPr>
        <w:color w:val="31B7BC"/>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A0E2"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2865D46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r w:rsidR="00B00E28">
      <w:fldChar w:fldCharType="begin"/>
    </w:r>
    <w:r w:rsidR="00B00E28">
      <w:instrText xml:space="preserve"> NUMPAGES   \* MERGEFORMAT </w:instrText>
    </w:r>
    <w:r w:rsidR="00B00E28">
      <w:fldChar w:fldCharType="separate"/>
    </w:r>
    <w:r>
      <w:rPr>
        <w:color w:val="31B7BC"/>
        <w:sz w:val="16"/>
      </w:rPr>
      <w:t>4</w:t>
    </w:r>
    <w:r w:rsidR="00B00E28">
      <w:rPr>
        <w:color w:val="31B7BC"/>
        <w:sz w:val="16"/>
      </w:rPr>
      <w:fldChar w:fldCharType="end"/>
    </w:r>
    <w:r>
      <w:rPr>
        <w:color w:val="31B7BC"/>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C317" w14:textId="77777777" w:rsidR="00FC7B19" w:rsidRDefault="00FC7B19">
      <w:pPr>
        <w:spacing w:after="0" w:line="240" w:lineRule="auto"/>
      </w:pPr>
      <w:r>
        <w:separator/>
      </w:r>
    </w:p>
  </w:footnote>
  <w:footnote w:type="continuationSeparator" w:id="0">
    <w:p w14:paraId="0C86F437" w14:textId="77777777" w:rsidR="00FC7B19" w:rsidRDefault="00FC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1A3E"/>
    <w:multiLevelType w:val="hybridMultilevel"/>
    <w:tmpl w:val="C7546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895BB8"/>
    <w:multiLevelType w:val="hybridMultilevel"/>
    <w:tmpl w:val="D20A5C98"/>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2" w15:restartNumberingAfterBreak="0">
    <w:nsid w:val="0F461030"/>
    <w:multiLevelType w:val="hybridMultilevel"/>
    <w:tmpl w:val="45C06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640C26"/>
    <w:multiLevelType w:val="hybridMultilevel"/>
    <w:tmpl w:val="7CA68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F40EFD"/>
    <w:multiLevelType w:val="hybridMultilevel"/>
    <w:tmpl w:val="74124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F47E8A"/>
    <w:multiLevelType w:val="hybridMultilevel"/>
    <w:tmpl w:val="774AF7EC"/>
    <w:lvl w:ilvl="0" w:tplc="08130001">
      <w:start w:val="1"/>
      <w:numFmt w:val="bullet"/>
      <w:lvlText w:val=""/>
      <w:lvlJc w:val="left"/>
      <w:pPr>
        <w:ind w:left="720" w:hanging="360"/>
      </w:pPr>
      <w:rPr>
        <w:rFonts w:ascii="Symbol" w:hAnsi="Symbol" w:hint="default"/>
      </w:rPr>
    </w:lvl>
    <w:lvl w:ilvl="1" w:tplc="85F6B692">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FF3BDA"/>
    <w:multiLevelType w:val="hybridMultilevel"/>
    <w:tmpl w:val="D0583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EC32B4"/>
    <w:multiLevelType w:val="hybridMultilevel"/>
    <w:tmpl w:val="E24C1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0A1E63"/>
    <w:multiLevelType w:val="hybridMultilevel"/>
    <w:tmpl w:val="555C4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BE5637B"/>
    <w:multiLevelType w:val="hybridMultilevel"/>
    <w:tmpl w:val="4404A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F9"/>
    <w:rsid w:val="0000690B"/>
    <w:rsid w:val="00015986"/>
    <w:rsid w:val="00046C8F"/>
    <w:rsid w:val="000543C8"/>
    <w:rsid w:val="000548E8"/>
    <w:rsid w:val="00055D77"/>
    <w:rsid w:val="00061006"/>
    <w:rsid w:val="00070366"/>
    <w:rsid w:val="00074F27"/>
    <w:rsid w:val="00080BCE"/>
    <w:rsid w:val="00081F41"/>
    <w:rsid w:val="000B62E3"/>
    <w:rsid w:val="000B7A3C"/>
    <w:rsid w:val="000F0CFF"/>
    <w:rsid w:val="000F22AB"/>
    <w:rsid w:val="000F6A7E"/>
    <w:rsid w:val="00143AA5"/>
    <w:rsid w:val="00155164"/>
    <w:rsid w:val="00174DF8"/>
    <w:rsid w:val="001823DD"/>
    <w:rsid w:val="00184D83"/>
    <w:rsid w:val="001A0DA5"/>
    <w:rsid w:val="001A2077"/>
    <w:rsid w:val="001C0519"/>
    <w:rsid w:val="001C6166"/>
    <w:rsid w:val="001F74C7"/>
    <w:rsid w:val="001F76A2"/>
    <w:rsid w:val="00214AD7"/>
    <w:rsid w:val="002217C0"/>
    <w:rsid w:val="00252EBF"/>
    <w:rsid w:val="0026536C"/>
    <w:rsid w:val="00290EE6"/>
    <w:rsid w:val="00291576"/>
    <w:rsid w:val="002925D2"/>
    <w:rsid w:val="0029606B"/>
    <w:rsid w:val="00296E7F"/>
    <w:rsid w:val="002B6DC9"/>
    <w:rsid w:val="00306F9C"/>
    <w:rsid w:val="00321A83"/>
    <w:rsid w:val="003558D1"/>
    <w:rsid w:val="003B2DA7"/>
    <w:rsid w:val="003C30CA"/>
    <w:rsid w:val="003E47B5"/>
    <w:rsid w:val="00424A4A"/>
    <w:rsid w:val="00471C10"/>
    <w:rsid w:val="00493EC5"/>
    <w:rsid w:val="00494D0F"/>
    <w:rsid w:val="004D05E8"/>
    <w:rsid w:val="004D1CB8"/>
    <w:rsid w:val="004E3D25"/>
    <w:rsid w:val="004E4F05"/>
    <w:rsid w:val="004E6AC0"/>
    <w:rsid w:val="00502A7E"/>
    <w:rsid w:val="0053386F"/>
    <w:rsid w:val="0054436A"/>
    <w:rsid w:val="00547D1C"/>
    <w:rsid w:val="00561E43"/>
    <w:rsid w:val="005845BF"/>
    <w:rsid w:val="00591D7C"/>
    <w:rsid w:val="005B3635"/>
    <w:rsid w:val="005C3868"/>
    <w:rsid w:val="005D197A"/>
    <w:rsid w:val="005D3B35"/>
    <w:rsid w:val="005D44FF"/>
    <w:rsid w:val="005D58B2"/>
    <w:rsid w:val="005E7B7C"/>
    <w:rsid w:val="005F52F5"/>
    <w:rsid w:val="00604738"/>
    <w:rsid w:val="006077B9"/>
    <w:rsid w:val="00611360"/>
    <w:rsid w:val="006145E6"/>
    <w:rsid w:val="006352DA"/>
    <w:rsid w:val="0063600C"/>
    <w:rsid w:val="00653EBA"/>
    <w:rsid w:val="00670A96"/>
    <w:rsid w:val="0067612D"/>
    <w:rsid w:val="006C5802"/>
    <w:rsid w:val="006D301A"/>
    <w:rsid w:val="006D6082"/>
    <w:rsid w:val="006F4C3F"/>
    <w:rsid w:val="006F6895"/>
    <w:rsid w:val="007022EE"/>
    <w:rsid w:val="007041C3"/>
    <w:rsid w:val="00704993"/>
    <w:rsid w:val="00713441"/>
    <w:rsid w:val="0072091E"/>
    <w:rsid w:val="00725837"/>
    <w:rsid w:val="00732859"/>
    <w:rsid w:val="00736333"/>
    <w:rsid w:val="007776F9"/>
    <w:rsid w:val="0079115D"/>
    <w:rsid w:val="00797291"/>
    <w:rsid w:val="007977B1"/>
    <w:rsid w:val="008061B2"/>
    <w:rsid w:val="00827CEF"/>
    <w:rsid w:val="0088034D"/>
    <w:rsid w:val="008B0586"/>
    <w:rsid w:val="008C225B"/>
    <w:rsid w:val="008D6CB9"/>
    <w:rsid w:val="008E0E1E"/>
    <w:rsid w:val="008E6EDB"/>
    <w:rsid w:val="008F6934"/>
    <w:rsid w:val="00904C18"/>
    <w:rsid w:val="00911FF0"/>
    <w:rsid w:val="00912B62"/>
    <w:rsid w:val="009231A2"/>
    <w:rsid w:val="00932A87"/>
    <w:rsid w:val="00933AE4"/>
    <w:rsid w:val="00943300"/>
    <w:rsid w:val="00960D63"/>
    <w:rsid w:val="00960EA1"/>
    <w:rsid w:val="00964328"/>
    <w:rsid w:val="00964DAA"/>
    <w:rsid w:val="009656BE"/>
    <w:rsid w:val="009750FB"/>
    <w:rsid w:val="00982D1C"/>
    <w:rsid w:val="009A69AB"/>
    <w:rsid w:val="009E1142"/>
    <w:rsid w:val="009F3CC2"/>
    <w:rsid w:val="009F5D73"/>
    <w:rsid w:val="009F6853"/>
    <w:rsid w:val="00A10824"/>
    <w:rsid w:val="00A15294"/>
    <w:rsid w:val="00A35C34"/>
    <w:rsid w:val="00A81DA3"/>
    <w:rsid w:val="00AB0353"/>
    <w:rsid w:val="00AC58F6"/>
    <w:rsid w:val="00AD0516"/>
    <w:rsid w:val="00AD3B8C"/>
    <w:rsid w:val="00B00E28"/>
    <w:rsid w:val="00B0785D"/>
    <w:rsid w:val="00B210B5"/>
    <w:rsid w:val="00B23C17"/>
    <w:rsid w:val="00B34F26"/>
    <w:rsid w:val="00B364D4"/>
    <w:rsid w:val="00B6225F"/>
    <w:rsid w:val="00B65D72"/>
    <w:rsid w:val="00B87BA8"/>
    <w:rsid w:val="00B964F6"/>
    <w:rsid w:val="00BB30BA"/>
    <w:rsid w:val="00C02FF6"/>
    <w:rsid w:val="00C10AA1"/>
    <w:rsid w:val="00C3449B"/>
    <w:rsid w:val="00C34D1F"/>
    <w:rsid w:val="00C355E6"/>
    <w:rsid w:val="00C52BA8"/>
    <w:rsid w:val="00C707AD"/>
    <w:rsid w:val="00CB63D5"/>
    <w:rsid w:val="00CB77F8"/>
    <w:rsid w:val="00CD01AE"/>
    <w:rsid w:val="00CE239C"/>
    <w:rsid w:val="00D02A0C"/>
    <w:rsid w:val="00D12328"/>
    <w:rsid w:val="00D14505"/>
    <w:rsid w:val="00D44654"/>
    <w:rsid w:val="00D569A8"/>
    <w:rsid w:val="00D643F2"/>
    <w:rsid w:val="00D87DEC"/>
    <w:rsid w:val="00DC48C7"/>
    <w:rsid w:val="00DD00F1"/>
    <w:rsid w:val="00DD204E"/>
    <w:rsid w:val="00DD467B"/>
    <w:rsid w:val="00DF2099"/>
    <w:rsid w:val="00E243A9"/>
    <w:rsid w:val="00E4129F"/>
    <w:rsid w:val="00E43139"/>
    <w:rsid w:val="00E4412F"/>
    <w:rsid w:val="00E621DA"/>
    <w:rsid w:val="00E62E85"/>
    <w:rsid w:val="00E65D65"/>
    <w:rsid w:val="00E660D7"/>
    <w:rsid w:val="00E66F49"/>
    <w:rsid w:val="00E84099"/>
    <w:rsid w:val="00E8551E"/>
    <w:rsid w:val="00EA6223"/>
    <w:rsid w:val="00EA7BA8"/>
    <w:rsid w:val="00EB0145"/>
    <w:rsid w:val="00ED725C"/>
    <w:rsid w:val="00F00EC0"/>
    <w:rsid w:val="00F04465"/>
    <w:rsid w:val="00F0705F"/>
    <w:rsid w:val="00F30AB3"/>
    <w:rsid w:val="00F37A37"/>
    <w:rsid w:val="00F423AD"/>
    <w:rsid w:val="00F77D76"/>
    <w:rsid w:val="00F91D00"/>
    <w:rsid w:val="00FA17F0"/>
    <w:rsid w:val="00FB74AB"/>
    <w:rsid w:val="00FC7B19"/>
    <w:rsid w:val="00FD4B63"/>
    <w:rsid w:val="00FE0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7950"/>
  <w15:docId w15:val="{6A2EA4C6-DB91-4883-B317-087DCFE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92" w:line="251" w:lineRule="auto"/>
      <w:ind w:left="10" w:right="2" w:hanging="10"/>
      <w:jc w:val="both"/>
    </w:pPr>
    <w:rPr>
      <w:rFonts w:ascii="FlandersArtSerif-Regular" w:eastAsia="FlandersArtSerif-Regular" w:hAnsi="FlandersArtSerif-Regular" w:cs="FlandersArtSerif-Regular"/>
      <w:color w:val="1C1A15"/>
    </w:rPr>
  </w:style>
  <w:style w:type="paragraph" w:styleId="Kop1">
    <w:name w:val="heading 1"/>
    <w:next w:val="Standaard"/>
    <w:link w:val="Kop1Char"/>
    <w:uiPriority w:val="9"/>
    <w:qFormat/>
    <w:pPr>
      <w:keepNext/>
      <w:keepLines/>
      <w:spacing w:after="317"/>
      <w:ind w:left="10" w:hanging="10"/>
      <w:outlineLvl w:val="0"/>
    </w:pPr>
    <w:rPr>
      <w:rFonts w:ascii="Flanders Art Sans" w:eastAsia="Flanders Art Sans" w:hAnsi="Flanders Art Sans" w:cs="Flanders Art Sans"/>
      <w:b/>
      <w:color w:val="3C3D3C"/>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Flanders Art Sans" w:eastAsia="Flanders Art Sans" w:hAnsi="Flanders Art Sans" w:cs="Flanders Art Sans"/>
      <w:b/>
      <w:color w:val="3C3D3C"/>
      <w:sz w:val="36"/>
    </w:rPr>
  </w:style>
  <w:style w:type="paragraph" w:styleId="Lijstalinea">
    <w:name w:val="List Paragraph"/>
    <w:basedOn w:val="Standaard"/>
    <w:link w:val="LijstalineaChar"/>
    <w:uiPriority w:val="34"/>
    <w:qFormat/>
    <w:rsid w:val="00943300"/>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styleId="Hyperlink">
    <w:name w:val="Hyperlink"/>
    <w:basedOn w:val="Standaardalinea-lettertype"/>
    <w:uiPriority w:val="99"/>
    <w:unhideWhenUsed/>
    <w:rsid w:val="00943300"/>
    <w:rPr>
      <w:color w:val="0563C1" w:themeColor="hyperlink"/>
      <w:u w:val="single"/>
    </w:rPr>
  </w:style>
  <w:style w:type="character" w:styleId="Onopgelostemelding">
    <w:name w:val="Unresolved Mention"/>
    <w:basedOn w:val="Standaardalinea-lettertype"/>
    <w:uiPriority w:val="99"/>
    <w:semiHidden/>
    <w:unhideWhenUsed/>
    <w:rsid w:val="009A69AB"/>
    <w:rPr>
      <w:color w:val="605E5C"/>
      <w:shd w:val="clear" w:color="auto" w:fill="E1DFDD"/>
    </w:rPr>
  </w:style>
  <w:style w:type="character" w:styleId="GevolgdeHyperlink">
    <w:name w:val="FollowedHyperlink"/>
    <w:basedOn w:val="Standaardalinea-lettertype"/>
    <w:uiPriority w:val="99"/>
    <w:semiHidden/>
    <w:unhideWhenUsed/>
    <w:rsid w:val="00C355E6"/>
    <w:rPr>
      <w:color w:val="954F72" w:themeColor="followedHyperlink"/>
      <w:u w:val="single"/>
    </w:rPr>
  </w:style>
  <w:style w:type="paragraph" w:styleId="Geenafstand">
    <w:name w:val="No Spacing"/>
    <w:uiPriority w:val="1"/>
    <w:qFormat/>
    <w:rsid w:val="003C30CA"/>
    <w:pPr>
      <w:spacing w:after="0" w:line="240" w:lineRule="auto"/>
      <w:ind w:left="10" w:right="2" w:hanging="10"/>
      <w:jc w:val="both"/>
    </w:pPr>
    <w:rPr>
      <w:rFonts w:ascii="FlandersArtSerif-Regular" w:eastAsia="FlandersArtSerif-Regular" w:hAnsi="FlandersArtSerif-Regular" w:cs="FlandersArtSerif-Regular"/>
      <w:color w:val="1C1A15"/>
    </w:rPr>
  </w:style>
  <w:style w:type="character" w:customStyle="1" w:styleId="LijstalineaChar">
    <w:name w:val="Lijstalinea Char"/>
    <w:basedOn w:val="Standaardalinea-lettertype"/>
    <w:link w:val="Lijstalinea"/>
    <w:uiPriority w:val="34"/>
    <w:locked/>
    <w:rsid w:val="005E7B7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8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bb.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aalleren@vlaanderen.be"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s-bb.nl/bedrijven/erkenning/leerbedrijf-word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06599A7EFB409319488BDCB0EA29" ma:contentTypeVersion="13" ma:contentTypeDescription="Een nieuw document maken." ma:contentTypeScope="" ma:versionID="c47723682cecd87a0da57b4043e72569">
  <xsd:schema xmlns:xsd="http://www.w3.org/2001/XMLSchema" xmlns:xs="http://www.w3.org/2001/XMLSchema" xmlns:p="http://schemas.microsoft.com/office/2006/metadata/properties" xmlns:ns2="69b40bbb-179e-4bc1-8623-1958b2be3d9d" xmlns:ns3="e24be8ec-04e4-41cd-a241-75c91ea03c1c" targetNamespace="http://schemas.microsoft.com/office/2006/metadata/properties" ma:root="true" ma:fieldsID="7e29c83918b9f74435d135e774f8bf1a" ns2:_="" ns3:_="">
    <xsd:import namespace="69b40bbb-179e-4bc1-8623-1958b2be3d9d"/>
    <xsd:import namespace="e24be8ec-04e4-41cd-a241-75c91ea03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40bbb-179e-4bc1-8623-1958b2be3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be8ec-04e4-41cd-a241-75c91ea03c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BE0C2-B234-4A5B-A724-0F56E819AEA4}"/>
</file>

<file path=customXml/itemProps2.xml><?xml version="1.0" encoding="utf-8"?>
<ds:datastoreItem xmlns:ds="http://schemas.openxmlformats.org/officeDocument/2006/customXml" ds:itemID="{AA935ECD-E11B-4B99-8A36-F4CACC9F540B}">
  <ds:schemaRefs>
    <ds:schemaRef ds:uri="http://schemas.microsoft.com/sharepoint/v3/contenttype/forms"/>
  </ds:schemaRefs>
</ds:datastoreItem>
</file>

<file path=customXml/itemProps3.xml><?xml version="1.0" encoding="utf-8"?>
<ds:datastoreItem xmlns:ds="http://schemas.openxmlformats.org/officeDocument/2006/customXml" ds:itemID="{035351F0-2A2B-452D-B98E-4F9C33DD3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3198</Characters>
  <Application>Microsoft Office Word</Application>
  <DocSecurity>4</DocSecurity>
  <Lines>26</Lines>
  <Paragraphs>7</Paragraphs>
  <ScaleCrop>false</ScaleCrop>
  <Company>Vlaamse overheid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OAO - Sociale verplichtingen van de onderneming</dc:title>
  <dc:subject/>
  <dc:creator>Pattyn Marleen</dc:creator>
  <cp:keywords/>
  <cp:lastModifiedBy>Careen Verwilligen</cp:lastModifiedBy>
  <cp:revision>2</cp:revision>
  <dcterms:created xsi:type="dcterms:W3CDTF">2021-02-22T09:25:00Z</dcterms:created>
  <dcterms:modified xsi:type="dcterms:W3CDTF">2021-02-22T09:25:00Z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0x0101004C5306599A7EFB409319488BDCB0EA29</vt:lpwstr>
  </property>
</Properties>
</file>